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斜井单绳缠绕式提升机（矿用绞车）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用户需提供现场参数表</w:t>
      </w:r>
    </w:p>
    <w:tbl>
      <w:tblPr>
        <w:tblStyle w:val="5"/>
        <w:tblW w:w="9780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520"/>
        <w:gridCol w:w="228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井口名称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主井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副井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使用年限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年产量要求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设备使用环境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地面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井下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海拔高度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潮湿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干燥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所属区域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北方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南方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使用范围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提升人车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4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一次最多提升人员：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人员物料混合提升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4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只提升下放物料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只下放材料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提升方式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斜井提升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井筒长度及坡度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m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单钩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/双钩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是否带配重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无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提升容器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箕斗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型号/自重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矿车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型号/个数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一次提升有效载重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kg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钢丝绳型号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要求绳速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m/s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由厂家设计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无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绞车房距上变坡点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巷道截面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m </w: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距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mm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道轨在巷道位置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是否有提升水平段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多水平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单水平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水平段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是否需信号系统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信号控制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是否需视频监控系统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视频监控画面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信号系统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隔爆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普通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视频监控系统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隔爆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普通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车房距变压器距离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绞车房电源电压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其它说明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（必要时提供斜巷断面图）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00" w:right="1406" w:bottom="110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" w:hAnsi="仿宋" w:eastAsia="仿宋" w:cs="仿宋"/>
        <w:sz w:val="20"/>
        <w:szCs w:val="20"/>
      </w:rPr>
      <w:t>地址：鹤壁市山城豫兴工业园</w:t>
    </w:r>
    <w:r>
      <w:rPr>
        <w:rFonts w:hint="eastAsia" w:ascii="仿宋" w:hAnsi="仿宋" w:eastAsia="仿宋" w:cs="仿宋"/>
        <w:sz w:val="20"/>
        <w:szCs w:val="20"/>
        <w:lang w:eastAsia="zh-CN"/>
      </w:rPr>
      <w:t>区</w:t>
    </w:r>
    <w:r>
      <w:rPr>
        <w:rFonts w:hint="eastAsia" w:ascii="仿宋" w:hAnsi="仿宋" w:eastAsia="仿宋" w:cs="仿宋"/>
        <w:sz w:val="20"/>
        <w:szCs w:val="20"/>
      </w:rPr>
      <w:t xml:space="preserve">  </w:t>
    </w:r>
    <w:r>
      <w:rPr>
        <w:rFonts w:hint="eastAsia" w:ascii="仿宋" w:hAnsi="仿宋" w:eastAsia="仿宋" w:cs="仿宋"/>
        <w:bCs/>
        <w:sz w:val="20"/>
        <w:szCs w:val="20"/>
      </w:rPr>
      <w:t>咨询热线：0392-2560169  传真：0392-2561088</w:t>
    </w:r>
    <w:r>
      <w:rPr>
        <w:rFonts w:hint="eastAsia" w:ascii="仿宋" w:hAnsi="仿宋" w:eastAsia="仿宋" w:cs="仿宋"/>
        <w:sz w:val="20"/>
        <w:szCs w:val="20"/>
      </w:rPr>
      <w:t xml:space="preserve">  网址：</w:t>
    </w:r>
    <w:r>
      <w:fldChar w:fldCharType="begin"/>
    </w:r>
    <w:r>
      <w:instrText xml:space="preserve"> HYPERLINK "http://www.hbyxmj.com/" </w:instrText>
    </w:r>
    <w:r>
      <w:fldChar w:fldCharType="separate"/>
    </w:r>
    <w:r>
      <w:rPr>
        <w:rStyle w:val="7"/>
        <w:rFonts w:hint="eastAsia" w:ascii="仿宋" w:hAnsi="仿宋" w:eastAsia="仿宋" w:cs="仿宋"/>
        <w:sz w:val="20"/>
        <w:szCs w:val="20"/>
      </w:rPr>
      <w:t>www.hbyxmj.com</w:t>
    </w:r>
    <w:r>
      <w:rPr>
        <w:rStyle w:val="7"/>
        <w:rFonts w:hint="eastAsia" w:ascii="仿宋" w:hAnsi="仿宋" w:eastAsia="仿宋" w:cs="仿宋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auto" w:sz="12" w:space="1"/>
      </w:pBdr>
      <w:rPr>
        <w:lang w:val="en-US"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-225425</wp:posOffset>
          </wp:positionV>
          <wp:extent cx="1983105" cy="660400"/>
          <wp:effectExtent l="0" t="0" r="0" b="0"/>
          <wp:wrapNone/>
          <wp:docPr id="1" name="图片 103" descr="527547668001639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3" descr="5275476680016392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105" cy="660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</w:t>
    </w:r>
    <w:r>
      <w:rPr>
        <w:rFonts w:hint="eastAsia" w:ascii="方正大黑简体" w:hAnsi="方正大黑简体" w:eastAsia="方正大黑简体" w:cs="方正大黑简体"/>
        <w:bCs/>
        <w:spacing w:val="29"/>
        <w:w w:val="85"/>
        <w:sz w:val="44"/>
        <w:szCs w:val="44"/>
      </w:rPr>
      <w:t>鹤壁市豫兴煤机有限公司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58F7"/>
    <w:rsid w:val="0C49760C"/>
    <w:rsid w:val="0F2C41B8"/>
    <w:rsid w:val="21092C2A"/>
    <w:rsid w:val="237F5B3E"/>
    <w:rsid w:val="2464402C"/>
    <w:rsid w:val="26227CCA"/>
    <w:rsid w:val="36826428"/>
    <w:rsid w:val="38123208"/>
    <w:rsid w:val="3ECA214F"/>
    <w:rsid w:val="41F54EF8"/>
    <w:rsid w:val="4245068B"/>
    <w:rsid w:val="4A0509D0"/>
    <w:rsid w:val="5CA944C5"/>
    <w:rsid w:val="5E5058F7"/>
    <w:rsid w:val="6A900A58"/>
    <w:rsid w:val="6F3A527A"/>
    <w:rsid w:val="75B6325F"/>
    <w:rsid w:val="793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2018-12-27T06:11:00Z</dcterms:created>
  <dc:creator>豫兴煤机</dc:creator>
  <cp:lastModifiedBy>豫兴煤机</cp:lastModifiedBy>
  <dcterms:modified xsi:type="dcterms:W3CDTF">2019-06-11T13:01:18Z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